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RELIAS PDPM On-Demand Series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PDPM Part 1:  Laying the Foundation (33.30 min)*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"https://www.relias.com/resource/pdpm-part-1-laying-the-foundation?aliId=orth"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https://www.relias.com/resource/pdpm-part-1-laying-the-foundation?aliId=orth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PDPM Part 2:  PDPM Therapy Case Mix Groups (33.17 min)*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"https://www.relias.com/resource/pdpm-part-2-therapy-case-mix-groups?aliId=orth"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https://www.relias.com/resource/pdpm-part-2-therapy-case-mix-groups?aliId=orth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PDPM Part 3:  PDPM Nursing Case Mix Groups (34:42 min)*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"https://www.relias.com/resource/pdpm-part-3-nursing-case-mix-groups?aliId=orth"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https://www.relias.com/resource/pdpm-part-3-nursing-case-mix-groups?aliId=orth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PDPM Part 4:  Non-Therapy Ancillaries Case Mix Groups (35:51 min)*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"https://www.relias.com/resource/pdpm-part-4-non-therapy-ancillaries?aliId=orth"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https://www.relias.com/resource/pdpm-part-4-non-therapy-ancillaries?aliId=orth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PDPM Part 5:  PDPM Assessment Requirements (35:04)*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"https://www.relias.com/resource/pdpm-part-5-assessment-requirements?aliId=orth"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https://www.relias.com/resource/pdpm-part-5-assessment-requirements?aliId=orth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PDPM Part 6:  Pulling It All Together (35:29)*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"https://www.relias.com/resource/pdpm-part-6-putting-it-all-together?aliId=orth"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https://www.relias.com/resource/pdpm-part-6-putting-it-all-together?aliId=orth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*Click on the </w:t>
      </w:r>
      <w:r>
        <w:rPr>
          <w:i w:val="1"/>
          <w:iCs w:val="1"/>
          <w:sz w:val="24"/>
          <w:szCs w:val="24"/>
          <w:rtl w:val="0"/>
          <w:lang w:val="en-US"/>
        </w:rPr>
        <w:t>“</w:t>
      </w:r>
      <w:r>
        <w:rPr>
          <w:i w:val="1"/>
          <w:iCs w:val="1"/>
          <w:sz w:val="24"/>
          <w:szCs w:val="24"/>
          <w:rtl w:val="0"/>
          <w:lang w:val="en-US"/>
        </w:rPr>
        <w:t>View Webinar Slides</w:t>
      </w:r>
      <w:r>
        <w:rPr>
          <w:i w:val="1"/>
          <w:iCs w:val="1"/>
          <w:sz w:val="24"/>
          <w:szCs w:val="24"/>
          <w:rtl w:val="0"/>
          <w:lang w:val="en-US"/>
        </w:rPr>
        <w:t xml:space="preserve">” </w:t>
      </w:r>
      <w:r>
        <w:rPr>
          <w:i w:val="1"/>
          <w:iCs w:val="1"/>
          <w:sz w:val="24"/>
          <w:szCs w:val="24"/>
          <w:rtl w:val="0"/>
          <w:lang w:val="en-US"/>
        </w:rPr>
        <w:t>to access the slides</w:t>
      </w:r>
    </w:p>
    <w:p>
      <w:pPr>
        <w:pStyle w:val="Body"/>
        <w:rPr>
          <w:i w:val="1"/>
          <w:iCs w:val="1"/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Select Rehabilitation On-Demand Webinar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Section GG:  The Impact on PDPM and SNF QRP (50:29 min)**</w:t>
      </w:r>
    </w:p>
    <w:p>
      <w:pPr>
        <w:pStyle w:val="Body"/>
        <w:rPr>
          <w:sz w:val="12"/>
          <w:szCs w:val="12"/>
        </w:rPr>
      </w:pPr>
    </w:p>
    <w:p>
      <w:pPr>
        <w:pStyle w:val="Body"/>
        <w:rPr>
          <w:sz w:val="24"/>
          <w:szCs w:val="24"/>
        </w:rPr>
      </w:pP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"https://www.selectrehab.com/pdpm-webinar/coding-section-gg"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https://www.selectrehab.com/pdpm-webinar/coding-section-gg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i w:val="1"/>
          <w:iCs w:val="1"/>
          <w:sz w:val="24"/>
          <w:szCs w:val="24"/>
          <w:rtl w:val="0"/>
          <w:lang w:val="en-US"/>
        </w:rPr>
        <w:t xml:space="preserve">**Handouts are accessible at toward the bottom of the right side of the page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