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F5" w:rsidRDefault="006833F5" w:rsidP="006833F5">
      <w:pPr>
        <w:spacing w:after="160" w:line="252" w:lineRule="auto"/>
        <w:contextualSpacing/>
        <w:rPr>
          <w:rFonts w:eastAsia="Times New Roman"/>
          <w:b/>
          <w:bCs/>
          <w:lang w:eastAsia="zh-CN"/>
        </w:rPr>
      </w:pPr>
      <w:r>
        <w:rPr>
          <w:rFonts w:eastAsia="Times New Roman"/>
          <w:b/>
          <w:bCs/>
          <w:lang w:eastAsia="zh-CN"/>
        </w:rPr>
        <w:t>Cook County Top Actionable Items</w:t>
      </w:r>
    </w:p>
    <w:p w:rsidR="006833F5" w:rsidRDefault="006833F5" w:rsidP="006833F5">
      <w:pPr>
        <w:spacing w:after="160" w:line="252" w:lineRule="auto"/>
        <w:contextualSpacing/>
        <w:rPr>
          <w:rFonts w:eastAsia="Times New Roman"/>
          <w:b/>
          <w:bCs/>
          <w:lang w:eastAsia="zh-CN"/>
        </w:rPr>
      </w:pPr>
      <w:r>
        <w:rPr>
          <w:rFonts w:eastAsia="Times New Roman"/>
          <w:b/>
          <w:bCs/>
          <w:lang w:eastAsia="zh-CN"/>
        </w:rPr>
        <w:t>3/30/2020</w:t>
      </w:r>
    </w:p>
    <w:p w:rsidR="006833F5" w:rsidRDefault="006833F5" w:rsidP="006833F5">
      <w:pPr>
        <w:spacing w:after="160" w:line="252" w:lineRule="auto"/>
        <w:contextualSpacing/>
        <w:rPr>
          <w:rFonts w:eastAsia="Times New Roman"/>
          <w:b/>
          <w:bCs/>
          <w:lang w:eastAsia="zh-CN"/>
        </w:rPr>
      </w:pPr>
      <w:bookmarkStart w:id="0" w:name="_GoBack"/>
      <w:bookmarkEnd w:id="0"/>
    </w:p>
    <w:p w:rsidR="006833F5" w:rsidRDefault="006833F5" w:rsidP="006833F5">
      <w:pPr>
        <w:numPr>
          <w:ilvl w:val="0"/>
          <w:numId w:val="1"/>
        </w:numPr>
        <w:spacing w:after="160" w:line="252" w:lineRule="auto"/>
        <w:contextualSpacing/>
        <w:rPr>
          <w:rFonts w:eastAsia="Times New Roman"/>
        </w:rPr>
      </w:pPr>
      <w:r>
        <w:rPr>
          <w:rFonts w:eastAsia="Times New Roman"/>
          <w:b/>
          <w:bCs/>
          <w:lang w:eastAsia="zh-CN"/>
        </w:rPr>
        <w:t>Keep COVID-19 from entering your facility:</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Restrict all visitors except for compassionate care situations (e.g., end of life).</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Restrict all volunteers and non-essential healthcare personnel (HCP), including consultant services (e.g., barber).</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Actively screen all HCP for fever and respiratory symptoms before starting each shift; send them home if they are ill.</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Cancel all field trips outside of the facility.</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Have residents who must regularly leave the facility for medically necessary purposes (e.g., residents receiving hemodialysis) wear a facemask whenever they leave their room, including for procedures outside of the facility.</w:t>
      </w:r>
    </w:p>
    <w:p w:rsidR="006833F5" w:rsidRDefault="006833F5" w:rsidP="006833F5">
      <w:pPr>
        <w:numPr>
          <w:ilvl w:val="0"/>
          <w:numId w:val="1"/>
        </w:numPr>
        <w:spacing w:after="160" w:line="252" w:lineRule="auto"/>
        <w:contextualSpacing/>
        <w:rPr>
          <w:rFonts w:eastAsia="Times New Roman"/>
        </w:rPr>
      </w:pPr>
      <w:r>
        <w:rPr>
          <w:rFonts w:eastAsia="Times New Roman"/>
          <w:b/>
          <w:bCs/>
          <w:lang w:eastAsia="zh-CN"/>
        </w:rPr>
        <w:t>Identify infections early:</w:t>
      </w:r>
    </w:p>
    <w:p w:rsidR="006833F5" w:rsidRDefault="006833F5" w:rsidP="006833F5">
      <w:pPr>
        <w:numPr>
          <w:ilvl w:val="1"/>
          <w:numId w:val="1"/>
        </w:numPr>
        <w:contextualSpacing/>
        <w:rPr>
          <w:rFonts w:eastAsia="Times New Roman"/>
        </w:rPr>
      </w:pPr>
      <w:r>
        <w:rPr>
          <w:rFonts w:eastAsia="Times New Roman"/>
          <w:lang w:eastAsia="zh-CN"/>
        </w:rPr>
        <w:t>Actively screen all residents at least daily for fever and respiratory symptoms; immediately isolate anyone who is symptomatic.</w:t>
      </w:r>
    </w:p>
    <w:p w:rsidR="006833F5" w:rsidRDefault="006833F5" w:rsidP="006833F5">
      <w:pPr>
        <w:numPr>
          <w:ilvl w:val="2"/>
          <w:numId w:val="1"/>
        </w:numPr>
      </w:pPr>
      <w:r>
        <w:rPr>
          <w:lang w:eastAsia="zh-CN"/>
        </w:rPr>
        <w:t>Long-term care residents with COVID-19 may not show typical symptoms such as fever or respiratory symptoms. Atypical symptoms may include: new or worsening malaise, new dizziness, diarrhea, or sore throat. Identification of these symptoms should prompt isolation and further evaluation for COVID-19 if it is circulating in the community.</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Notify the health department if: severe respiratory infection, clusters (≥3 residents and/or HCP) of respiratory infection, or individuals with known or suspected COVID-19 are identified.</w:t>
      </w:r>
    </w:p>
    <w:p w:rsidR="006833F5" w:rsidRDefault="006833F5" w:rsidP="006833F5">
      <w:pPr>
        <w:numPr>
          <w:ilvl w:val="0"/>
          <w:numId w:val="1"/>
        </w:numPr>
        <w:spacing w:after="160" w:line="252" w:lineRule="auto"/>
        <w:contextualSpacing/>
        <w:rPr>
          <w:rFonts w:eastAsia="Times New Roman"/>
        </w:rPr>
      </w:pPr>
      <w:r>
        <w:rPr>
          <w:rFonts w:eastAsia="Times New Roman"/>
          <w:b/>
          <w:bCs/>
          <w:lang w:eastAsia="zh-CN"/>
        </w:rPr>
        <w:t>Prevent spread of COVID-19:</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Cancel all group activities and communal dining.</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Enforce social distancing among residents.</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When COVID-19 is reported in the community, implement universal facemask use by all HCP (source control) when they enter the facility;</w:t>
      </w:r>
    </w:p>
    <w:p w:rsidR="006833F5" w:rsidRDefault="006833F5" w:rsidP="006833F5">
      <w:pPr>
        <w:numPr>
          <w:ilvl w:val="2"/>
          <w:numId w:val="1"/>
        </w:numPr>
        <w:spacing w:after="160" w:line="252" w:lineRule="auto"/>
        <w:contextualSpacing/>
      </w:pPr>
      <w:r>
        <w:rPr>
          <w:lang w:eastAsia="zh-CN"/>
        </w:rPr>
        <w:t>If facemasks are in short supply, they should be prioritized for direct care personnel.  All HCP should be reminded to practice social distancing when in break rooms or common areas.</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If COVID-19 is identified in the facility, restrict all residents to their room and have HCP wear all recommended PPE for all resident care, regardless of the presence of symptoms.  Refer to strategies for optimizing PPE when shortages exist.</w:t>
      </w:r>
    </w:p>
    <w:p w:rsidR="006833F5" w:rsidRDefault="006833F5" w:rsidP="006833F5">
      <w:pPr>
        <w:numPr>
          <w:ilvl w:val="2"/>
          <w:numId w:val="1"/>
        </w:numPr>
        <w:spacing w:after="160" w:line="252" w:lineRule="auto"/>
        <w:contextualSpacing/>
      </w:pPr>
      <w:r>
        <w:rPr>
          <w:lang w:eastAsia="zh-CN"/>
        </w:rPr>
        <w:t>This approach is recommended to account for residents who are infected but not manifesting symptoms.  Recent experience suggests that a substantial proportion of long-term care residents with COVID-19 do not demonstrate symptoms.</w:t>
      </w:r>
    </w:p>
    <w:p w:rsidR="006833F5" w:rsidRDefault="006833F5" w:rsidP="006833F5">
      <w:pPr>
        <w:numPr>
          <w:ilvl w:val="2"/>
          <w:numId w:val="1"/>
        </w:numPr>
        <w:spacing w:after="160" w:line="252" w:lineRule="auto"/>
        <w:contextualSpacing/>
      </w:pPr>
      <w:r>
        <w:rPr>
          <w:lang w:eastAsia="zh-CN"/>
        </w:rPr>
        <w:t>When a case is identified, public health can help inform decisions about testing asymptomatic residents on the unit and in the facility.</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 xml:space="preserve">Strengthen hand hygiene adherence. Place alcohol-based hand rubs in every resident room to facilitate hand hygiene by staff. Keep sinks stocked with soap and water. </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 xml:space="preserve">Check if disinfectants in use are EPA-registered, hospital-grade with a claim against the virus are available for frequent cleaning of high-touch surface areas and shared resident care </w:t>
      </w:r>
      <w:proofErr w:type="spellStart"/>
      <w:r>
        <w:rPr>
          <w:rFonts w:eastAsia="Times New Roman"/>
          <w:lang w:eastAsia="zh-CN"/>
        </w:rPr>
        <w:t>quipment</w:t>
      </w:r>
      <w:proofErr w:type="spellEnd"/>
      <w:r>
        <w:rPr>
          <w:rFonts w:eastAsia="Times New Roman"/>
          <w:lang w:eastAsia="zh-CN"/>
        </w:rPr>
        <w:t xml:space="preserve">. See EPA list N: </w:t>
      </w:r>
      <w:hyperlink r:id="rId5" w:history="1">
        <w:r>
          <w:rPr>
            <w:rStyle w:val="Hyperlink"/>
            <w:rFonts w:eastAsia="Times New Roman"/>
            <w:color w:val="0000FF"/>
            <w:lang w:eastAsia="zh-CN"/>
          </w:rPr>
          <w:t>https://www.epa.gov/pesticide-registration/list-n-disinfectants-use-against-sars-cov-2</w:t>
        </w:r>
      </w:hyperlink>
    </w:p>
    <w:p w:rsidR="006833F5" w:rsidRDefault="006833F5" w:rsidP="006833F5">
      <w:pPr>
        <w:numPr>
          <w:ilvl w:val="0"/>
          <w:numId w:val="1"/>
        </w:numPr>
        <w:spacing w:after="160" w:line="252" w:lineRule="auto"/>
        <w:contextualSpacing/>
        <w:rPr>
          <w:rFonts w:eastAsia="Times New Roman"/>
        </w:rPr>
      </w:pPr>
      <w:r>
        <w:rPr>
          <w:rFonts w:eastAsia="Times New Roman"/>
          <w:b/>
          <w:bCs/>
          <w:lang w:eastAsia="zh-CN"/>
        </w:rPr>
        <w:lastRenderedPageBreak/>
        <w:t>Assess supply of personal protective equipment (PPE) and initiate measures to optimize current supply:</w:t>
      </w:r>
    </w:p>
    <w:p w:rsidR="006833F5" w:rsidRDefault="006833F5" w:rsidP="006833F5">
      <w:pPr>
        <w:numPr>
          <w:ilvl w:val="1"/>
          <w:numId w:val="1"/>
        </w:numPr>
        <w:spacing w:after="160" w:line="252" w:lineRule="auto"/>
        <w:contextualSpacing/>
        <w:rPr>
          <w:rFonts w:eastAsia="Times New Roman"/>
        </w:rPr>
      </w:pPr>
      <w:r>
        <w:rPr>
          <w:rFonts w:eastAsia="Times New Roman"/>
          <w:lang w:eastAsia="zh-CN"/>
        </w:rPr>
        <w:t>For example, extended use of facemasks and eye protection or prioritization of gowns for certain resident care activities</w:t>
      </w:r>
    </w:p>
    <w:p w:rsidR="006833F5" w:rsidRDefault="006833F5" w:rsidP="006833F5">
      <w:pPr>
        <w:numPr>
          <w:ilvl w:val="2"/>
          <w:numId w:val="1"/>
        </w:numPr>
        <w:spacing w:after="160" w:line="252" w:lineRule="auto"/>
        <w:contextualSpacing/>
      </w:pPr>
      <w:hyperlink r:id="rId6" w:history="1">
        <w:r>
          <w:rPr>
            <w:rStyle w:val="Hyperlink"/>
            <w:color w:val="0000FF"/>
            <w:lang w:eastAsia="zh-CN"/>
          </w:rPr>
          <w:t>https://www.cdc.gov/coronavirus/2019-ncov/hcp/ppe-strategy/index.html</w:t>
        </w:r>
      </w:hyperlink>
    </w:p>
    <w:p w:rsidR="006833F5" w:rsidRDefault="006833F5" w:rsidP="006833F5">
      <w:pPr>
        <w:numPr>
          <w:ilvl w:val="0"/>
          <w:numId w:val="1"/>
        </w:numPr>
        <w:spacing w:after="160" w:line="252" w:lineRule="auto"/>
        <w:contextualSpacing/>
        <w:rPr>
          <w:rFonts w:eastAsia="Times New Roman"/>
        </w:rPr>
      </w:pPr>
      <w:r>
        <w:rPr>
          <w:rFonts w:eastAsia="Times New Roman"/>
          <w:b/>
          <w:bCs/>
          <w:lang w:eastAsia="zh-CN"/>
        </w:rPr>
        <w:t>Identify and manage severe illness:</w:t>
      </w:r>
    </w:p>
    <w:p w:rsidR="006833F5" w:rsidRDefault="006833F5" w:rsidP="006833F5">
      <w:pPr>
        <w:numPr>
          <w:ilvl w:val="1"/>
          <w:numId w:val="1"/>
        </w:numPr>
        <w:contextualSpacing/>
        <w:rPr>
          <w:rFonts w:eastAsia="Times New Roman"/>
        </w:rPr>
      </w:pPr>
      <w:r>
        <w:rPr>
          <w:rFonts w:eastAsia="Times New Roman"/>
          <w:lang w:eastAsia="zh-CN"/>
        </w:rPr>
        <w:t>Facility performs appropriate monitoring of ill residents (including documentation of pulse oximetry) twice a shift to quickly identify residents who require transfer to a higher level of care.</w:t>
      </w:r>
    </w:p>
    <w:p w:rsidR="006833F5" w:rsidRDefault="006833F5" w:rsidP="006833F5">
      <w:pPr>
        <w:numPr>
          <w:ilvl w:val="1"/>
          <w:numId w:val="1"/>
        </w:numPr>
        <w:contextualSpacing/>
        <w:rPr>
          <w:rFonts w:eastAsia="Times New Roman"/>
        </w:rPr>
      </w:pPr>
      <w:r>
        <w:rPr>
          <w:rFonts w:eastAsia="Times New Roman"/>
          <w:lang w:eastAsia="zh-CN"/>
        </w:rPr>
        <w:t>As residents are not showing typical symptoms and time from symptom onset to clinical deterioration can be short, consider monitoring of vitals for all asymptomatic residents (including pulse oximetry) once a shift.</w:t>
      </w:r>
    </w:p>
    <w:p w:rsidR="006833F5" w:rsidRDefault="006833F5" w:rsidP="006833F5">
      <w:pPr>
        <w:numPr>
          <w:ilvl w:val="0"/>
          <w:numId w:val="1"/>
        </w:numPr>
        <w:contextualSpacing/>
        <w:rPr>
          <w:rFonts w:eastAsia="Times New Roman"/>
        </w:rPr>
      </w:pPr>
      <w:r>
        <w:rPr>
          <w:rFonts w:eastAsia="Times New Roman"/>
          <w:b/>
          <w:bCs/>
          <w:lang w:eastAsia="zh-CN"/>
        </w:rPr>
        <w:t>Communicate</w:t>
      </w:r>
    </w:p>
    <w:p w:rsidR="006833F5" w:rsidRDefault="006833F5" w:rsidP="006833F5">
      <w:pPr>
        <w:numPr>
          <w:ilvl w:val="1"/>
          <w:numId w:val="1"/>
        </w:numPr>
        <w:contextualSpacing/>
        <w:rPr>
          <w:rFonts w:eastAsia="Times New Roman"/>
        </w:rPr>
      </w:pPr>
      <w:r>
        <w:rPr>
          <w:rFonts w:eastAsia="Times New Roman"/>
          <w:lang w:eastAsia="zh-CN"/>
        </w:rPr>
        <w:t xml:space="preserve">Communicate to residents and families advising them about actions that the facility is taking in response to COVID-19. This could include </w:t>
      </w:r>
    </w:p>
    <w:p w:rsidR="006833F5" w:rsidRDefault="006833F5" w:rsidP="006833F5">
      <w:pPr>
        <w:numPr>
          <w:ilvl w:val="2"/>
          <w:numId w:val="1"/>
        </w:numPr>
        <w:contextualSpacing/>
      </w:pPr>
      <w:proofErr w:type="gramStart"/>
      <w:r>
        <w:rPr>
          <w:lang w:eastAsia="zh-CN"/>
        </w:rPr>
        <w:t>informing</w:t>
      </w:r>
      <w:proofErr w:type="gramEnd"/>
      <w:r>
        <w:rPr>
          <w:lang w:eastAsia="zh-CN"/>
        </w:rPr>
        <w:t xml:space="preserve"> about visitor restrictions to the families and residents.</w:t>
      </w:r>
    </w:p>
    <w:p w:rsidR="006833F5" w:rsidRDefault="006833F5" w:rsidP="006833F5">
      <w:pPr>
        <w:numPr>
          <w:ilvl w:val="1"/>
          <w:numId w:val="1"/>
        </w:numPr>
        <w:contextualSpacing/>
        <w:rPr>
          <w:rFonts w:eastAsia="Times New Roman"/>
        </w:rPr>
      </w:pPr>
      <w:r>
        <w:rPr>
          <w:rFonts w:eastAsia="Times New Roman"/>
          <w:lang w:eastAsia="zh-CN"/>
        </w:rPr>
        <w:t>Communicate to residents about what they need to do – such as social distancing, informing personnel immediately if they feel ill, importance of hand hygiene and cough etiquette</w:t>
      </w:r>
    </w:p>
    <w:p w:rsidR="006833F5" w:rsidRDefault="006833F5" w:rsidP="006833F5">
      <w:pPr>
        <w:numPr>
          <w:ilvl w:val="1"/>
          <w:numId w:val="1"/>
        </w:numPr>
        <w:contextualSpacing/>
        <w:rPr>
          <w:rFonts w:eastAsia="Times New Roman"/>
        </w:rPr>
      </w:pPr>
      <w:r>
        <w:rPr>
          <w:rFonts w:eastAsia="Times New Roman"/>
          <w:lang w:eastAsia="zh-CN"/>
        </w:rPr>
        <w:t>Communicate to residents about other changes that will take place with regards to their care such as higher frequency of monitoring of symptoms</w:t>
      </w:r>
    </w:p>
    <w:p w:rsidR="009B20F2" w:rsidRDefault="006833F5"/>
    <w:sectPr w:rsidR="009B2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1270A"/>
    <w:multiLevelType w:val="hybridMultilevel"/>
    <w:tmpl w:val="CEA4FA4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F5"/>
    <w:rsid w:val="00270730"/>
    <w:rsid w:val="006833F5"/>
    <w:rsid w:val="00CF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B1F89-00AD-4294-A31C-02D77A54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3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33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1.safelinks.protection.outlook.com/?url=https%3A%2F%2Fwww.cdc.gov%2Fcoronavirus%2F2019-ncov%2Fhcp%2Fppe-strategy%2Findex.html&amp;data=02%7C01%7Cmfrias%40cookcountyhhs.org%7C0a98a08664c3467af9cf08d7cd1c0592%7C3b922295e886417faaa84e4c4f069d82%7C0%7C1%7C637203392684047164&amp;sdata=zhbF881dL7EnQP7Gue4MphMe%2BM8ffkMihrUqenGmH1k%3D&amp;reserved=0" TargetMode="External"/><Relationship Id="rId5" Type="http://schemas.openxmlformats.org/officeDocument/2006/relationships/hyperlink" Target="https://gcc01.safelinks.protection.outlook.com/?url=https%3A%2F%2Fwww.epa.gov%2Fpesticide-registration%2Flist-n-disinfectants-use-against-sars-cov-2&amp;data=02%7C01%7Cmfrias%40cookcountyhhs.org%7C0a98a08664c3467af9cf08d7cd1c0592%7C3b922295e886417faaa84e4c4f069d82%7C0%7C1%7C637203392684047164&amp;sdata=aEKynxmZapN8SZlY56GWDvV4yks6vea%2FuYqyjbtr%2BG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Tolley</dc:creator>
  <cp:keywords/>
  <dc:description/>
  <cp:lastModifiedBy>Jeff Tolley</cp:lastModifiedBy>
  <cp:revision>1</cp:revision>
  <dcterms:created xsi:type="dcterms:W3CDTF">2020-03-31T17:51:00Z</dcterms:created>
  <dcterms:modified xsi:type="dcterms:W3CDTF">2020-03-31T17:53:00Z</dcterms:modified>
</cp:coreProperties>
</file>